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87" w:rsidRDefault="00CD4569" w:rsidP="00CD4569">
      <w:pPr>
        <w:jc w:val="center"/>
        <w:rPr>
          <w:b/>
          <w:u w:val="single"/>
        </w:rPr>
      </w:pPr>
      <w:bookmarkStart w:id="0" w:name="_GoBack"/>
      <w:bookmarkEnd w:id="0"/>
      <w:r w:rsidRPr="00CD4569">
        <w:rPr>
          <w:b/>
          <w:u w:val="single"/>
        </w:rPr>
        <w:t>16-19 Tuition Fund</w:t>
      </w:r>
    </w:p>
    <w:p w:rsidR="00CD4569" w:rsidRDefault="00CD4569" w:rsidP="00CD4569">
      <w:pPr>
        <w:jc w:val="center"/>
        <w:rPr>
          <w:b/>
          <w:u w:val="single"/>
        </w:rPr>
      </w:pPr>
    </w:p>
    <w:p w:rsidR="00CD4569" w:rsidRPr="00CD4569" w:rsidRDefault="00CD4569" w:rsidP="00CD4569">
      <w:r>
        <w:t>St Brendan’s Sixth Form College</w:t>
      </w:r>
      <w:r w:rsidRPr="00CD4569">
        <w:t xml:space="preserve"> received an allocation of funding from the Education and Skills Funding Agency (ESFA) to mitigate the disruption to learning arising from coronavirus (COVID-19). </w:t>
      </w:r>
      <w:r>
        <w:t xml:space="preserve"> The purpose of this statement is to set out how St Brendan’s will use its allocation to support students who have been academically disadvantaged due to coronavirus (COVID-19)</w:t>
      </w:r>
    </w:p>
    <w:p w:rsidR="00CD4569" w:rsidRPr="00CD4569" w:rsidRDefault="00CD4569" w:rsidP="00CD4569">
      <w:r w:rsidRPr="00CD4569">
        <w:t xml:space="preserve">The funding is </w:t>
      </w:r>
      <w:r w:rsidR="00B44855">
        <w:t>being provided for the 2021-2022</w:t>
      </w:r>
      <w:r w:rsidRPr="00CD4569">
        <w:t xml:space="preserve"> academic year in order to support small group tuition for students in English, maths, and other courses where learning has been disrupted.  </w:t>
      </w:r>
    </w:p>
    <w:p w:rsidR="00CD4569" w:rsidRPr="00CD4569" w:rsidRDefault="00CD4569" w:rsidP="00CD4569">
      <w:r w:rsidRPr="00CD4569">
        <w:t>In line with guidance from the EFSA, we will prioritise support for students who have not achieved a grade 4 in English and/or maths as well as considering other students with a grade 4 who may also benefit from catch up support. We will have regard to the needs of students with special educational needs and disabilities (SEND), particularly where they have experienced additional disruption to learning as a result of their s</w:t>
      </w:r>
      <w:r w:rsidR="00B44855">
        <w:t>pecific needs and disabilities.</w:t>
      </w:r>
    </w:p>
    <w:p w:rsidR="00CD4569" w:rsidRPr="00CD4569" w:rsidRDefault="00CD4569" w:rsidP="00CD4569">
      <w:r w:rsidRPr="00CD4569">
        <w:t>Following enrolment in September we will identify students who meet the criteria and will establish additional tuition for those stu</w:t>
      </w:r>
      <w:r w:rsidR="00B44855">
        <w:t xml:space="preserve">dent in small groups of up to 7. </w:t>
      </w:r>
      <w:r w:rsidRPr="00CD4569">
        <w:t>We will monitor their progress reg</w:t>
      </w:r>
      <w:r>
        <w:t xml:space="preserve">ularly using our Key </w:t>
      </w:r>
      <w:r w:rsidRPr="00CD4569">
        <w:t xml:space="preserve">Assessment </w:t>
      </w:r>
      <w:r>
        <w:t xml:space="preserve">Gateway </w:t>
      </w:r>
      <w:r w:rsidRPr="00CD4569">
        <w:t xml:space="preserve">Framework and adapt these additional programmes on an ongoing basis.   </w:t>
      </w:r>
    </w:p>
    <w:p w:rsidR="00CD4569" w:rsidRPr="00B44855" w:rsidRDefault="00CD4569" w:rsidP="00CD4569">
      <w:r w:rsidRPr="00CD4569">
        <w:t xml:space="preserve">Our approach will include a mix of both teaching and learning support, and staff will have received appropriate training where necessary. Once identified, students will receive small group support for </w:t>
      </w:r>
      <w:r w:rsidRPr="00B44855">
        <w:t xml:space="preserve">GCSE Maths and English and possibly for some of their BTEC and A Level subjects. </w:t>
      </w:r>
      <w:r w:rsidR="00325FB1" w:rsidRPr="00B44855">
        <w:t xml:space="preserve"> </w:t>
      </w:r>
    </w:p>
    <w:p w:rsidR="00325FB1" w:rsidRDefault="00CD4569" w:rsidP="00325FB1">
      <w:r w:rsidRPr="00B44855">
        <w:t>We will record how we use the funding, including reference to the individual students that receive the support, the needs of those students, the number of hours of tuition delivered, and we will retain the necessary evidence of the tuition provided.</w:t>
      </w:r>
      <w:r w:rsidR="00325FB1">
        <w:t xml:space="preserve">  </w:t>
      </w:r>
    </w:p>
    <w:p w:rsidR="00B44855" w:rsidRDefault="00B44855" w:rsidP="00325FB1">
      <w:r>
        <w:t>Our catch- up programme is an ambitious one and we are also co-funding the plans from our existing funding allocation.  Current plans, although subject to change based on emerging needs include the following:</w:t>
      </w:r>
    </w:p>
    <w:p w:rsidR="00B44855" w:rsidRDefault="00B44855" w:rsidP="00B44855">
      <w:pPr>
        <w:pStyle w:val="ListParagraph"/>
        <w:numPr>
          <w:ilvl w:val="0"/>
          <w:numId w:val="2"/>
        </w:numPr>
      </w:pPr>
      <w:r>
        <w:t>The appointment of full-time graduate academic learning coaches with a background in Mathematics, Sciences , Humanities and English</w:t>
      </w:r>
    </w:p>
    <w:p w:rsidR="00B44855" w:rsidRDefault="00BA7D70" w:rsidP="00B44855">
      <w:pPr>
        <w:pStyle w:val="ListParagraph"/>
        <w:numPr>
          <w:ilvl w:val="0"/>
          <w:numId w:val="2"/>
        </w:numPr>
      </w:pPr>
      <w:r>
        <w:t>Running additional support for creative subjects whereby students may not have developed the required skills development</w:t>
      </w:r>
    </w:p>
    <w:p w:rsidR="00BA7D70" w:rsidRDefault="00BA7D70" w:rsidP="00B44855">
      <w:pPr>
        <w:pStyle w:val="ListParagraph"/>
        <w:numPr>
          <w:ilvl w:val="0"/>
          <w:numId w:val="2"/>
        </w:numPr>
      </w:pPr>
      <w:r>
        <w:t>In addition to the above, the College has also put on additional interventions through our Wave 2 support across a variety of subjects to ensure that students are able to access the support that they need to ensure confidence in their studies.</w:t>
      </w:r>
    </w:p>
    <w:p w:rsidR="00325FB1" w:rsidRPr="00325FB1" w:rsidRDefault="00325FB1" w:rsidP="00325FB1">
      <w:pPr>
        <w:rPr>
          <w:rFonts w:cstheme="minorHAnsi"/>
          <w:sz w:val="36"/>
          <w:szCs w:val="36"/>
        </w:rPr>
      </w:pPr>
      <w:r w:rsidRPr="00325FB1">
        <w:rPr>
          <w:rFonts w:eastAsia="Times New Roman" w:cstheme="minorHAnsi"/>
          <w:b/>
          <w:bCs/>
          <w:color w:val="000000"/>
          <w:sz w:val="36"/>
          <w:szCs w:val="36"/>
          <w:lang w:eastAsia="en-GB"/>
        </w:rPr>
        <w:t>Our commitment</w:t>
      </w:r>
    </w:p>
    <w:p w:rsidR="00325FB1" w:rsidRPr="00325FB1" w:rsidRDefault="00325FB1" w:rsidP="00325FB1">
      <w:pPr>
        <w:spacing w:after="240" w:line="430" w:lineRule="atLeast"/>
        <w:rPr>
          <w:rFonts w:eastAsia="Times New Roman" w:cstheme="minorHAnsi"/>
          <w:color w:val="000000"/>
          <w:lang w:eastAsia="en-GB"/>
        </w:rPr>
      </w:pPr>
      <w:r w:rsidRPr="00325FB1">
        <w:rPr>
          <w:rFonts w:eastAsia="Times New Roman" w:cstheme="minorHAnsi"/>
          <w:color w:val="000000"/>
          <w:lang w:eastAsia="en-GB"/>
        </w:rPr>
        <w:t>The College is committed to ensuring the tuition fund is used in accordance with the Government’s guidance on the 16 to 19 tuition fund by:</w:t>
      </w:r>
    </w:p>
    <w:p w:rsidR="00325FB1" w:rsidRPr="00325FB1" w:rsidRDefault="00325FB1" w:rsidP="00325FB1">
      <w:pPr>
        <w:numPr>
          <w:ilvl w:val="0"/>
          <w:numId w:val="1"/>
        </w:numPr>
        <w:spacing w:after="0" w:line="384" w:lineRule="atLeast"/>
        <w:ind w:left="300"/>
        <w:rPr>
          <w:rFonts w:eastAsia="Times New Roman" w:cstheme="minorHAnsi"/>
          <w:color w:val="000000"/>
          <w:lang w:eastAsia="en-GB"/>
        </w:rPr>
      </w:pPr>
      <w:r w:rsidRPr="00325FB1">
        <w:rPr>
          <w:rFonts w:eastAsia="Times New Roman" w:cstheme="minorHAnsi"/>
          <w:color w:val="000000"/>
          <w:lang w:eastAsia="en-GB"/>
        </w:rPr>
        <w:t>producing this statement setting out how the fund will be used to support the most disadvantaged students</w:t>
      </w:r>
    </w:p>
    <w:p w:rsidR="00325FB1" w:rsidRPr="00325FB1" w:rsidRDefault="00325FB1" w:rsidP="00325FB1">
      <w:pPr>
        <w:numPr>
          <w:ilvl w:val="0"/>
          <w:numId w:val="1"/>
        </w:numPr>
        <w:spacing w:after="0" w:line="384" w:lineRule="atLeast"/>
        <w:ind w:left="300"/>
        <w:rPr>
          <w:rFonts w:eastAsia="Times New Roman" w:cstheme="minorHAnsi"/>
          <w:color w:val="000000"/>
          <w:lang w:eastAsia="en-GB"/>
        </w:rPr>
      </w:pPr>
      <w:r w:rsidRPr="00325FB1">
        <w:rPr>
          <w:rFonts w:eastAsia="Times New Roman" w:cstheme="minorHAnsi"/>
          <w:color w:val="000000"/>
          <w:lang w:eastAsia="en-GB"/>
        </w:rPr>
        <w:lastRenderedPageBreak/>
        <w:t>publishing this guidance on the College website</w:t>
      </w:r>
    </w:p>
    <w:p w:rsidR="00325FB1" w:rsidRPr="00325FB1" w:rsidRDefault="00325FB1" w:rsidP="00325FB1">
      <w:pPr>
        <w:numPr>
          <w:ilvl w:val="0"/>
          <w:numId w:val="1"/>
        </w:numPr>
        <w:spacing w:after="0" w:line="384" w:lineRule="atLeast"/>
        <w:ind w:left="300"/>
        <w:rPr>
          <w:rFonts w:eastAsia="Times New Roman" w:cstheme="minorHAnsi"/>
          <w:color w:val="000000"/>
          <w:lang w:eastAsia="en-GB"/>
        </w:rPr>
      </w:pPr>
      <w:r w:rsidRPr="00325FB1">
        <w:rPr>
          <w:rFonts w:eastAsia="Times New Roman" w:cstheme="minorHAnsi"/>
          <w:color w:val="000000"/>
          <w:lang w:eastAsia="en-GB"/>
        </w:rPr>
        <w:t>recording the use of the fund, including references to individual students who receive support, the needs of those students, the number of hours of tuition delivered and retain the evidence of the tuition provided</w:t>
      </w:r>
    </w:p>
    <w:p w:rsidR="00325FB1" w:rsidRPr="00325FB1" w:rsidRDefault="00325FB1" w:rsidP="00325FB1">
      <w:pPr>
        <w:numPr>
          <w:ilvl w:val="0"/>
          <w:numId w:val="1"/>
        </w:numPr>
        <w:spacing w:after="0" w:line="384" w:lineRule="atLeast"/>
        <w:ind w:left="300"/>
        <w:rPr>
          <w:rFonts w:eastAsia="Times New Roman" w:cstheme="minorHAnsi"/>
          <w:color w:val="000000"/>
          <w:lang w:eastAsia="en-GB"/>
        </w:rPr>
      </w:pPr>
      <w:r w:rsidRPr="00325FB1">
        <w:rPr>
          <w:rFonts w:eastAsia="Times New Roman" w:cstheme="minorHAnsi"/>
          <w:color w:val="000000"/>
          <w:lang w:eastAsia="en-GB"/>
        </w:rPr>
        <w:t>deliver the extra tuition and spend the allocated fu</w:t>
      </w:r>
      <w:r w:rsidR="00BA7D70">
        <w:rPr>
          <w:rFonts w:eastAsia="Times New Roman" w:cstheme="minorHAnsi"/>
          <w:color w:val="000000"/>
          <w:lang w:eastAsia="en-GB"/>
        </w:rPr>
        <w:t>nds in the academic year 2021/22</w:t>
      </w:r>
    </w:p>
    <w:p w:rsidR="00325FB1" w:rsidRPr="00325FB1" w:rsidRDefault="00325FB1" w:rsidP="00325FB1">
      <w:pPr>
        <w:numPr>
          <w:ilvl w:val="0"/>
          <w:numId w:val="1"/>
        </w:numPr>
        <w:spacing w:after="0" w:line="384" w:lineRule="atLeast"/>
        <w:ind w:left="300"/>
        <w:rPr>
          <w:rFonts w:eastAsia="Times New Roman" w:cstheme="minorHAnsi"/>
          <w:color w:val="000000"/>
          <w:lang w:eastAsia="en-GB"/>
        </w:rPr>
      </w:pPr>
      <w:r w:rsidRPr="00325FB1">
        <w:rPr>
          <w:rFonts w:eastAsia="Times New Roman" w:cstheme="minorHAnsi"/>
          <w:color w:val="000000"/>
          <w:lang w:eastAsia="en-GB"/>
        </w:rPr>
        <w:t>notify the Education Skills Funding Agency (ESFA) of any underspend from the Fund for it to be reclaimed</w:t>
      </w:r>
    </w:p>
    <w:p w:rsidR="00CD4569" w:rsidRDefault="00CD4569" w:rsidP="00CD4569">
      <w:pPr>
        <w:rPr>
          <w:rFonts w:asciiTheme="majorHAnsi" w:hAnsiTheme="majorHAnsi" w:cstheme="majorHAnsi"/>
          <w:b/>
          <w:u w:val="single"/>
        </w:rPr>
      </w:pPr>
    </w:p>
    <w:p w:rsidR="00BA7D70" w:rsidRDefault="00BA7D70" w:rsidP="00CD4569">
      <w:pPr>
        <w:rPr>
          <w:rFonts w:asciiTheme="majorHAnsi" w:hAnsiTheme="majorHAnsi" w:cstheme="majorHAnsi"/>
          <w:b/>
          <w:u w:val="single"/>
        </w:rPr>
      </w:pPr>
    </w:p>
    <w:p w:rsidR="00CD4569" w:rsidRPr="00CD4569" w:rsidRDefault="00CD4569" w:rsidP="00CD4569">
      <w:pPr>
        <w:rPr>
          <w:b/>
          <w:u w:val="single"/>
        </w:rPr>
      </w:pPr>
    </w:p>
    <w:sectPr w:rsidR="00CD4569" w:rsidRPr="00CD4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79E"/>
    <w:multiLevelType w:val="hybridMultilevel"/>
    <w:tmpl w:val="7692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2C21"/>
    <w:multiLevelType w:val="multilevel"/>
    <w:tmpl w:val="443C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26C6F"/>
    <w:multiLevelType w:val="hybridMultilevel"/>
    <w:tmpl w:val="C3BA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69"/>
    <w:rsid w:val="000456A2"/>
    <w:rsid w:val="002F1887"/>
    <w:rsid w:val="00325FB1"/>
    <w:rsid w:val="00591CD9"/>
    <w:rsid w:val="00771EA9"/>
    <w:rsid w:val="009A20FE"/>
    <w:rsid w:val="00A22F66"/>
    <w:rsid w:val="00B44855"/>
    <w:rsid w:val="00BA7D70"/>
    <w:rsid w:val="00CD4569"/>
    <w:rsid w:val="00D2265A"/>
    <w:rsid w:val="00F2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A535-C066-4A57-A5AE-6030C77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5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25FB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Curran</dc:creator>
  <cp:keywords/>
  <dc:description/>
  <cp:lastModifiedBy>Nicky Mills</cp:lastModifiedBy>
  <cp:revision>2</cp:revision>
  <dcterms:created xsi:type="dcterms:W3CDTF">2021-09-30T14:54:00Z</dcterms:created>
  <dcterms:modified xsi:type="dcterms:W3CDTF">2021-09-30T14:54:00Z</dcterms:modified>
</cp:coreProperties>
</file>